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364E" w14:textId="77777777" w:rsidR="00F718ED" w:rsidRPr="00BD759F" w:rsidRDefault="00E71B98" w:rsidP="00E71B98">
      <w:pPr>
        <w:spacing w:after="0" w:line="240" w:lineRule="atLeast"/>
        <w:jc w:val="center"/>
        <w:rPr>
          <w:rFonts w:ascii="Times New Roman" w:eastAsia="Times New Roman" w:hAnsi="Times New Roman" w:cs="Times New Roman"/>
          <w:b/>
          <w:bCs/>
          <w:sz w:val="28"/>
          <w:szCs w:val="28"/>
        </w:rPr>
      </w:pPr>
      <w:r w:rsidRPr="00BD759F">
        <w:rPr>
          <w:rFonts w:ascii="Times New Roman" w:eastAsia="Times New Roman" w:hAnsi="Times New Roman" w:cs="Times New Roman"/>
          <w:b/>
          <w:bCs/>
          <w:sz w:val="28"/>
          <w:szCs w:val="28"/>
        </w:rPr>
        <w:t>NEW</w:t>
      </w:r>
      <w:r w:rsidR="00D8585A">
        <w:rPr>
          <w:rFonts w:ascii="Times New Roman" w:eastAsia="Times New Roman" w:hAnsi="Times New Roman" w:cs="Times New Roman"/>
          <w:b/>
          <w:bCs/>
          <w:sz w:val="28"/>
          <w:szCs w:val="28"/>
        </w:rPr>
        <w:t>ASSOCIATE</w:t>
      </w:r>
      <w:r w:rsidRPr="00BD759F">
        <w:rPr>
          <w:rFonts w:ascii="Times New Roman" w:eastAsia="Times New Roman" w:hAnsi="Times New Roman" w:cs="Times New Roman"/>
          <w:b/>
          <w:bCs/>
          <w:sz w:val="28"/>
          <w:szCs w:val="28"/>
        </w:rPr>
        <w:t xml:space="preserve"> </w:t>
      </w:r>
      <w:r w:rsidR="00F718ED" w:rsidRPr="00BD759F">
        <w:rPr>
          <w:rFonts w:ascii="Times New Roman" w:eastAsia="Times New Roman" w:hAnsi="Times New Roman" w:cs="Times New Roman"/>
          <w:b/>
          <w:bCs/>
          <w:sz w:val="28"/>
          <w:szCs w:val="28"/>
        </w:rPr>
        <w:t>FELLOW PRESS RELEASE</w:t>
      </w:r>
    </w:p>
    <w:p w14:paraId="72853450" w14:textId="77777777" w:rsidR="00E71B98" w:rsidRPr="00E71B98" w:rsidRDefault="00E71B98" w:rsidP="00E71B98">
      <w:pPr>
        <w:spacing w:after="0" w:line="240" w:lineRule="atLeast"/>
        <w:jc w:val="center"/>
        <w:rPr>
          <w:rFonts w:ascii="Times New Roman" w:eastAsia="Times New Roman" w:hAnsi="Times New Roman" w:cs="Times New Roman"/>
          <w:sz w:val="21"/>
          <w:szCs w:val="21"/>
        </w:rPr>
      </w:pPr>
    </w:p>
    <w:p w14:paraId="7B34C311" w14:textId="77777777" w:rsidR="00F718ED" w:rsidRPr="00E71B98" w:rsidRDefault="00F718ED" w:rsidP="00F718ED">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14:paraId="322C537F" w14:textId="77777777" w:rsidR="00F718ED" w:rsidRPr="00E71B98" w:rsidRDefault="00F718ED" w:rsidP="00F718ED">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"Black - standard text"</w:t>
      </w:r>
    </w:p>
    <w:p w14:paraId="698BED66" w14:textId="77777777" w:rsidR="00F718ED" w:rsidRPr="003D7DAA" w:rsidRDefault="00F718ED" w:rsidP="00F718ED">
      <w:pPr>
        <w:spacing w:after="0" w:line="240" w:lineRule="atLeast"/>
        <w:jc w:val="center"/>
        <w:rPr>
          <w:rFonts w:ascii="Times New Roman" w:eastAsia="Times New Roman" w:hAnsi="Times New Roman" w:cs="Times New Roman"/>
          <w:color w:val="FF0000"/>
          <w:sz w:val="21"/>
          <w:szCs w:val="21"/>
        </w:rPr>
      </w:pPr>
      <w:r w:rsidRPr="003D7DAA">
        <w:rPr>
          <w:rFonts w:ascii="Times New Roman" w:eastAsia="Times New Roman" w:hAnsi="Times New Roman" w:cs="Times New Roman"/>
          <w:color w:val="FF0000"/>
          <w:sz w:val="21"/>
          <w:szCs w:val="21"/>
        </w:rPr>
        <w:t>"Red - custom text"</w:t>
      </w:r>
    </w:p>
    <w:p w14:paraId="381F6016" w14:textId="77777777" w:rsidR="00E71B98" w:rsidRPr="00E71B98" w:rsidRDefault="00E71B98" w:rsidP="00F718ED">
      <w:pPr>
        <w:spacing w:after="0" w:line="240" w:lineRule="atLeast"/>
        <w:jc w:val="center"/>
        <w:rPr>
          <w:rFonts w:ascii="Times New Roman" w:eastAsia="Times New Roman" w:hAnsi="Times New Roman" w:cs="Times New Roman"/>
          <w:sz w:val="21"/>
          <w:szCs w:val="21"/>
        </w:rPr>
      </w:pPr>
    </w:p>
    <w:p w14:paraId="26B5F367" w14:textId="77777777" w:rsidR="00F718ED" w:rsidRPr="00E71B98" w:rsidRDefault="00F718ED" w:rsidP="00F718ED">
      <w:pPr>
        <w:spacing w:after="0" w:line="240" w:lineRule="atLeast"/>
        <w:jc w:val="center"/>
        <w:rPr>
          <w:rFonts w:ascii="Times New Roman" w:eastAsia="Times New Roman" w:hAnsi="Times New Roman" w:cs="Times New Roman"/>
          <w:sz w:val="21"/>
          <w:szCs w:val="21"/>
        </w:rPr>
      </w:pPr>
      <w:r w:rsidRPr="00E71B98">
        <w:rPr>
          <w:rFonts w:ascii="Times New Roman" w:eastAsia="Times New Roman" w:hAnsi="Times New Roman" w:cs="Times New Roman"/>
          <w:sz w:val="21"/>
          <w:szCs w:val="21"/>
        </w:rPr>
        <w:t> </w:t>
      </w:r>
    </w:p>
    <w:p w14:paraId="2D476DDE" w14:textId="77777777" w:rsidR="00E71B98" w:rsidRDefault="00F718ED" w:rsidP="00BD759F">
      <w:pPr>
        <w:spacing w:after="0" w:line="240" w:lineRule="atLeast"/>
        <w:jc w:val="center"/>
        <w:rPr>
          <w:rFonts w:ascii="Times New Roman" w:eastAsia="Times New Roman" w:hAnsi="Times New Roman" w:cs="Times New Roman"/>
          <w:b/>
          <w:bCs/>
          <w:sz w:val="26"/>
          <w:szCs w:val="26"/>
        </w:rPr>
      </w:pPr>
      <w:r w:rsidRPr="00BD759F">
        <w:rPr>
          <w:rFonts w:ascii="Times New Roman" w:eastAsia="Times New Roman" w:hAnsi="Times New Roman" w:cs="Times New Roman"/>
          <w:b/>
          <w:bCs/>
          <w:sz w:val="26"/>
          <w:szCs w:val="26"/>
        </w:rPr>
        <w:t>FOR IMMEDIATE RELEASE</w:t>
      </w:r>
    </w:p>
    <w:p w14:paraId="284EA103" w14:textId="77777777" w:rsidR="00BD759F" w:rsidRPr="00BD759F" w:rsidRDefault="00BD759F" w:rsidP="00BD759F">
      <w:pPr>
        <w:spacing w:after="0" w:line="240" w:lineRule="atLeast"/>
        <w:jc w:val="center"/>
        <w:rPr>
          <w:rFonts w:ascii="Times New Roman" w:eastAsia="Times New Roman" w:hAnsi="Times New Roman" w:cs="Times New Roman"/>
          <w:b/>
          <w:bCs/>
          <w:sz w:val="26"/>
          <w:szCs w:val="26"/>
        </w:rPr>
      </w:pPr>
    </w:p>
    <w:p w14:paraId="6B83AEE1" w14:textId="77777777" w:rsidR="00E71B98" w:rsidRPr="00E71B98" w:rsidRDefault="00E71B98" w:rsidP="003D7DAA">
      <w:pPr>
        <w:spacing w:after="0" w:line="240" w:lineRule="atLeast"/>
        <w:jc w:val="center"/>
        <w:rPr>
          <w:rFonts w:ascii="Times New Roman" w:eastAsia="Times New Roman" w:hAnsi="Times New Roman" w:cs="Times New Roman"/>
          <w:sz w:val="21"/>
          <w:szCs w:val="21"/>
        </w:rPr>
      </w:pPr>
    </w:p>
    <w:p w14:paraId="35D8CFD2" w14:textId="7A300A9C" w:rsidR="00F718ED" w:rsidRPr="00BD759F" w:rsidRDefault="00F718ED" w:rsidP="003D7DA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D759F">
        <w:rPr>
          <w:rFonts w:ascii="Times New Roman" w:eastAsia="Times New Roman" w:hAnsi="Times New Roman" w:cs="Times New Roman"/>
          <w:color w:val="FF0000"/>
          <w:sz w:val="24"/>
          <w:szCs w:val="24"/>
        </w:rPr>
        <w:t>NATHAN WATKINS</w:t>
      </w:r>
      <w:r w:rsidRPr="00BD759F">
        <w:rPr>
          <w:rFonts w:ascii="Times New Roman" w:eastAsia="Times New Roman" w:hAnsi="Times New Roman" w:cs="Times New Roman"/>
          <w:color w:val="000000"/>
          <w:sz w:val="24"/>
          <w:szCs w:val="24"/>
        </w:rPr>
        <w:t xml:space="preserve"> NAMED </w:t>
      </w:r>
      <w:r w:rsidR="00D8585A">
        <w:rPr>
          <w:rFonts w:ascii="Times New Roman" w:eastAsia="Times New Roman" w:hAnsi="Times New Roman" w:cs="Times New Roman"/>
          <w:color w:val="000000"/>
          <w:sz w:val="24"/>
          <w:szCs w:val="24"/>
        </w:rPr>
        <w:t xml:space="preserve">ASSOCIATE </w:t>
      </w:r>
      <w:r w:rsidRPr="00BD759F">
        <w:rPr>
          <w:rFonts w:ascii="Times New Roman" w:eastAsia="Times New Roman" w:hAnsi="Times New Roman" w:cs="Times New Roman"/>
          <w:color w:val="000000"/>
          <w:sz w:val="24"/>
          <w:szCs w:val="24"/>
        </w:rPr>
        <w:t>FELLOW OF LITIGATION COUNSEL OF AMERICA</w:t>
      </w:r>
    </w:p>
    <w:p w14:paraId="59A97C49" w14:textId="77777777" w:rsidR="00BD759F" w:rsidRDefault="00BD759F" w:rsidP="00E71B98">
      <w:pPr>
        <w:spacing w:after="0" w:line="240" w:lineRule="atLeast"/>
        <w:jc w:val="both"/>
        <w:rPr>
          <w:rFonts w:ascii="Times New Roman" w:eastAsia="Times New Roman" w:hAnsi="Times New Roman" w:cs="Times New Roman"/>
          <w:sz w:val="24"/>
          <w:szCs w:val="24"/>
        </w:rPr>
      </w:pPr>
    </w:p>
    <w:p w14:paraId="5611E3EB" w14:textId="77777777" w:rsidR="00F718ED" w:rsidRDefault="00F718ED" w:rsidP="00E71B98">
      <w:pPr>
        <w:spacing w:after="0" w:line="240" w:lineRule="atLeast"/>
        <w:jc w:val="both"/>
        <w:rPr>
          <w:rFonts w:ascii="Times New Roman" w:eastAsia="Times New Roman" w:hAnsi="Times New Roman" w:cs="Times New Roman"/>
          <w:color w:val="FF0000"/>
          <w:sz w:val="24"/>
          <w:szCs w:val="24"/>
        </w:rPr>
      </w:pPr>
      <w:r w:rsidRPr="00BD759F">
        <w:rPr>
          <w:rFonts w:ascii="Times New Roman" w:eastAsia="Times New Roman" w:hAnsi="Times New Roman" w:cs="Times New Roman"/>
          <w:color w:val="FF0000"/>
          <w:sz w:val="24"/>
          <w:szCs w:val="24"/>
        </w:rPr>
        <w:t xml:space="preserve">Kansas City </w:t>
      </w:r>
      <w:r w:rsidRPr="00BD759F">
        <w:rPr>
          <w:rFonts w:ascii="Times New Roman" w:eastAsia="Times New Roman" w:hAnsi="Times New Roman" w:cs="Times New Roman"/>
          <w:sz w:val="24"/>
          <w:szCs w:val="24"/>
        </w:rPr>
        <w:t xml:space="preserve">attorney </w:t>
      </w:r>
      <w:r w:rsidRPr="00BD759F">
        <w:rPr>
          <w:rFonts w:ascii="Times New Roman" w:eastAsia="Times New Roman" w:hAnsi="Times New Roman" w:cs="Times New Roman"/>
          <w:color w:val="FF0000"/>
          <w:sz w:val="24"/>
          <w:szCs w:val="24"/>
        </w:rPr>
        <w:t>Nathan L. Watkins</w:t>
      </w:r>
      <w:r w:rsidRPr="00BD759F">
        <w:rPr>
          <w:rFonts w:ascii="Times New Roman" w:eastAsia="Times New Roman" w:hAnsi="Times New Roman" w:cs="Times New Roman"/>
          <w:sz w:val="24"/>
          <w:szCs w:val="24"/>
        </w:rPr>
        <w:t xml:space="preserve">, of the law firm </w:t>
      </w:r>
      <w:r w:rsidRPr="00BD759F">
        <w:rPr>
          <w:rFonts w:ascii="Times New Roman" w:eastAsia="Times New Roman" w:hAnsi="Times New Roman" w:cs="Times New Roman"/>
          <w:color w:val="FF0000"/>
          <w:sz w:val="24"/>
          <w:szCs w:val="24"/>
        </w:rPr>
        <w:t>Barker, Sidley &amp; Tate, P.C.</w:t>
      </w:r>
      <w:r w:rsidRPr="00BD759F">
        <w:rPr>
          <w:rFonts w:ascii="Times New Roman" w:eastAsia="Times New Roman" w:hAnsi="Times New Roman" w:cs="Times New Roman"/>
          <w:sz w:val="24"/>
          <w:szCs w:val="24"/>
        </w:rPr>
        <w:t xml:space="preserve">, </w:t>
      </w:r>
      <w:r w:rsidRPr="00BD759F">
        <w:rPr>
          <w:rFonts w:ascii="Times New Roman" w:eastAsia="Times New Roman" w:hAnsi="Times New Roman" w:cs="Times New Roman"/>
          <w:color w:val="000000"/>
          <w:sz w:val="24"/>
          <w:szCs w:val="24"/>
        </w:rPr>
        <w:t>has been selected as a</w:t>
      </w:r>
      <w:r w:rsidR="00D8585A">
        <w:rPr>
          <w:rFonts w:ascii="Times New Roman" w:eastAsia="Times New Roman" w:hAnsi="Times New Roman" w:cs="Times New Roman"/>
          <w:color w:val="000000"/>
          <w:sz w:val="24"/>
          <w:szCs w:val="24"/>
        </w:rPr>
        <w:t>n Associate</w:t>
      </w:r>
      <w:r w:rsidRPr="00BD759F">
        <w:rPr>
          <w:rFonts w:ascii="Times New Roman" w:eastAsia="Times New Roman" w:hAnsi="Times New Roman" w:cs="Times New Roman"/>
          <w:color w:val="000000"/>
          <w:sz w:val="24"/>
          <w:szCs w:val="24"/>
        </w:rPr>
        <w:t xml:space="preserve"> Fellow of the Litigation Counsel of America. </w:t>
      </w:r>
      <w:r w:rsidRPr="00BD759F">
        <w:rPr>
          <w:rFonts w:ascii="Times New Roman" w:eastAsia="Times New Roman" w:hAnsi="Times New Roman" w:cs="Times New Roman"/>
          <w:color w:val="FF0000"/>
          <w:sz w:val="24"/>
          <w:szCs w:val="24"/>
        </w:rPr>
        <w:t xml:space="preserve">Watkins is a senior litigator in the firm’s commercial litigation section and past director of the Kansas City Bar Association. A 1977 graduate of the University of Missouri-Columbia, Watkins received his Juris Doctor degree from Washington University School of Law in 1980. He has represented numerous clients in both federal and state courts and has argued cases before the Supreme Court of Missouri, the Missouri Court of Appeals, and the Kansas Supreme Court. Watkins regularly represents domestic and international companies in the enforcement of their intellectual property rights and complex commercial litigation. </w:t>
      </w:r>
    </w:p>
    <w:p w14:paraId="0761A1B1" w14:textId="77777777" w:rsidR="00BD759F" w:rsidRDefault="00BD759F" w:rsidP="00BD759F">
      <w:pPr>
        <w:spacing w:after="0" w:line="240" w:lineRule="atLeast"/>
        <w:jc w:val="both"/>
        <w:rPr>
          <w:rFonts w:ascii="Times New Roman" w:eastAsia="Times New Roman" w:hAnsi="Times New Roman" w:cs="Times New Roman"/>
          <w:color w:val="FF0000"/>
          <w:sz w:val="24"/>
          <w:szCs w:val="24"/>
        </w:rPr>
      </w:pPr>
    </w:p>
    <w:p w14:paraId="4784A551" w14:textId="77777777" w:rsidR="00BD759F" w:rsidRPr="00BD759F" w:rsidRDefault="00BD759F" w:rsidP="00E71B98">
      <w:pPr>
        <w:spacing w:after="0" w:line="240" w:lineRule="atLeast"/>
        <w:jc w:val="both"/>
        <w:rPr>
          <w:rFonts w:ascii="Times New Roman" w:eastAsia="Times New Roman" w:hAnsi="Times New Roman" w:cs="Times New Roman"/>
          <w:sz w:val="24"/>
          <w:szCs w:val="24"/>
        </w:rPr>
      </w:pPr>
      <w:r w:rsidRPr="00BD759F">
        <w:rPr>
          <w:rFonts w:ascii="Times New Roman" w:eastAsia="Times New Roman" w:hAnsi="Times New Roman" w:cs="Times New Roman"/>
          <w:color w:val="FF0000"/>
          <w:sz w:val="24"/>
          <w:szCs w:val="24"/>
        </w:rPr>
        <w:t xml:space="preserve">Watkins is also active in The United Way, where he serves on the advisory council, the Greater Kansas City Development Board, and is the past president of Western Missouri Planned Parenthood. </w:t>
      </w:r>
      <w:r w:rsidRPr="00BD759F">
        <w:rPr>
          <w:rFonts w:ascii="Times New Roman" w:eastAsia="Times New Roman" w:hAnsi="Times New Roman" w:cs="Times New Roman"/>
          <w:sz w:val="24"/>
          <w:szCs w:val="24"/>
        </w:rPr>
        <w:t> </w:t>
      </w:r>
    </w:p>
    <w:p w14:paraId="46C70019" w14:textId="77777777" w:rsidR="00E71B98" w:rsidRPr="00BD759F" w:rsidRDefault="00E71B98" w:rsidP="00E71B98">
      <w:pPr>
        <w:spacing w:after="0" w:line="240" w:lineRule="atLeast"/>
        <w:jc w:val="both"/>
        <w:rPr>
          <w:rFonts w:ascii="Times New Roman" w:eastAsia="Times New Roman" w:hAnsi="Times New Roman" w:cs="Times New Roman"/>
          <w:sz w:val="24"/>
          <w:szCs w:val="24"/>
        </w:rPr>
      </w:pPr>
    </w:p>
    <w:p w14:paraId="5B5B9998" w14:textId="77777777" w:rsidR="00E71B98" w:rsidRPr="00BD759F" w:rsidRDefault="00F718ED" w:rsidP="00E71B98">
      <w:pPr>
        <w:spacing w:after="0" w:line="240" w:lineRule="atLeast"/>
        <w:jc w:val="both"/>
        <w:rPr>
          <w:rFonts w:ascii="Times New Roman" w:eastAsia="Times New Roman" w:hAnsi="Times New Roman" w:cs="Times New Roman"/>
          <w:sz w:val="24"/>
          <w:szCs w:val="24"/>
        </w:rPr>
      </w:pPr>
      <w:r w:rsidRPr="00BD759F">
        <w:rPr>
          <w:rFonts w:ascii="Times New Roman" w:eastAsia="Times New Roman" w:hAnsi="Times New Roman" w:cs="Times New Roman"/>
          <w:sz w:val="24"/>
          <w:szCs w:val="24"/>
        </w:rPr>
        <w:t>The L</w:t>
      </w:r>
      <w:r w:rsidR="00BD759F">
        <w:rPr>
          <w:rFonts w:ascii="Times New Roman" w:eastAsia="Times New Roman" w:hAnsi="Times New Roman" w:cs="Times New Roman"/>
          <w:sz w:val="24"/>
          <w:szCs w:val="24"/>
        </w:rPr>
        <w:t>itigation Counsel of America</w:t>
      </w:r>
      <w:r w:rsidRPr="00BD759F">
        <w:rPr>
          <w:rFonts w:ascii="Times New Roman" w:eastAsia="Times New Roman" w:hAnsi="Times New Roman" w:cs="Times New Roman"/>
          <w:sz w:val="24"/>
          <w:szCs w:val="24"/>
        </w:rPr>
        <w:t xml:space="preserve"> is a trial lawyer honorary society composed of less than one-half of one percent of American lawyers. Fellowship in the LCA is highly selective and by invitation only. </w:t>
      </w:r>
      <w:r w:rsidR="003A5E38">
        <w:rPr>
          <w:rFonts w:ascii="Times New Roman" w:eastAsia="Times New Roman" w:hAnsi="Times New Roman" w:cs="Times New Roman"/>
          <w:sz w:val="24"/>
          <w:szCs w:val="24"/>
        </w:rPr>
        <w:t xml:space="preserve">Associate </w:t>
      </w:r>
      <w:r w:rsidRPr="00BD759F">
        <w:rPr>
          <w:rFonts w:ascii="Times New Roman" w:eastAsia="Times New Roman" w:hAnsi="Times New Roman" w:cs="Times New Roman"/>
          <w:sz w:val="24"/>
          <w:szCs w:val="24"/>
        </w:rPr>
        <w:t>Fellows are selected based upon excellence and</w:t>
      </w:r>
      <w:r w:rsidR="003A5E38">
        <w:rPr>
          <w:rFonts w:ascii="Times New Roman" w:eastAsia="Times New Roman" w:hAnsi="Times New Roman" w:cs="Times New Roman"/>
          <w:sz w:val="24"/>
          <w:szCs w:val="24"/>
        </w:rPr>
        <w:t xml:space="preserve"> early career</w:t>
      </w:r>
      <w:r w:rsidRPr="00BD759F">
        <w:rPr>
          <w:rFonts w:ascii="Times New Roman" w:eastAsia="Times New Roman" w:hAnsi="Times New Roman" w:cs="Times New Roman"/>
          <w:sz w:val="24"/>
          <w:szCs w:val="24"/>
        </w:rPr>
        <w:t xml:space="preserve"> accomplishment</w:t>
      </w:r>
      <w:r w:rsidR="003A5E38">
        <w:rPr>
          <w:rFonts w:ascii="Times New Roman" w:eastAsia="Times New Roman" w:hAnsi="Times New Roman" w:cs="Times New Roman"/>
          <w:sz w:val="24"/>
          <w:szCs w:val="24"/>
        </w:rPr>
        <w:t>s</w:t>
      </w:r>
      <w:r w:rsidRPr="00BD759F">
        <w:rPr>
          <w:rFonts w:ascii="Times New Roman" w:eastAsia="Times New Roman" w:hAnsi="Times New Roman" w:cs="Times New Roman"/>
          <w:sz w:val="24"/>
          <w:szCs w:val="24"/>
        </w:rPr>
        <w:t xml:space="preserve"> in litigation, both at the trial and appellate levels, and superior ethical reputation. The LCA is aggressively diverse in its composition. Established as a trial and appellate lawyer honorary society reflecting the American bar in the twenty-first century, the LCA represents the best in law among its membership. The number of Fellowships has been kept at an exclusive limit by design, allowing qualifications, diversity and inclusion to align effectively, with recognition of excellence in litigation across all segments of the bar. </w:t>
      </w:r>
      <w:r w:rsidR="003A5E38">
        <w:rPr>
          <w:rFonts w:ascii="Times New Roman" w:eastAsia="Times New Roman" w:hAnsi="Times New Roman" w:cs="Times New Roman"/>
          <w:sz w:val="24"/>
          <w:szCs w:val="24"/>
        </w:rPr>
        <w:t xml:space="preserve">Associate </w:t>
      </w:r>
      <w:r w:rsidRPr="00BD759F">
        <w:rPr>
          <w:rFonts w:ascii="Times New Roman" w:eastAsia="Times New Roman" w:hAnsi="Times New Roman" w:cs="Times New Roman"/>
          <w:sz w:val="24"/>
          <w:szCs w:val="24"/>
        </w:rPr>
        <w:t>Fellows are generally at the partner</w:t>
      </w:r>
      <w:r w:rsidR="003A5E38">
        <w:rPr>
          <w:rFonts w:ascii="Times New Roman" w:eastAsia="Times New Roman" w:hAnsi="Times New Roman" w:cs="Times New Roman"/>
          <w:sz w:val="24"/>
          <w:szCs w:val="24"/>
        </w:rPr>
        <w:t xml:space="preserve"> </w:t>
      </w:r>
      <w:r w:rsidRPr="00BD759F">
        <w:rPr>
          <w:rFonts w:ascii="Times New Roman" w:eastAsia="Times New Roman" w:hAnsi="Times New Roman" w:cs="Times New Roman"/>
          <w:sz w:val="24"/>
          <w:szCs w:val="24"/>
        </w:rPr>
        <w:t xml:space="preserve"> or shareholder level,</w:t>
      </w:r>
      <w:r w:rsidR="003A5E38">
        <w:rPr>
          <w:rFonts w:ascii="Times New Roman" w:eastAsia="Times New Roman" w:hAnsi="Times New Roman" w:cs="Times New Roman"/>
          <w:sz w:val="24"/>
          <w:szCs w:val="24"/>
        </w:rPr>
        <w:t xml:space="preserve"> or on such track,</w:t>
      </w:r>
      <w:r w:rsidRPr="00BD759F">
        <w:rPr>
          <w:rFonts w:ascii="Times New Roman" w:eastAsia="Times New Roman" w:hAnsi="Times New Roman" w:cs="Times New Roman"/>
          <w:sz w:val="24"/>
          <w:szCs w:val="24"/>
        </w:rPr>
        <w:t xml:space="preserve"> or are independent practitioners with recognized experience and accomplishment. In addition, the LCA is dedicated to promoting superior advocacy, professionalism and ethi</w:t>
      </w:r>
      <w:r w:rsidR="003A5E38">
        <w:rPr>
          <w:rFonts w:ascii="Times New Roman" w:eastAsia="Times New Roman" w:hAnsi="Times New Roman" w:cs="Times New Roman"/>
          <w:sz w:val="24"/>
          <w:szCs w:val="24"/>
        </w:rPr>
        <w:t>cal standards among its Fellows at all levels.</w:t>
      </w:r>
      <w:r w:rsidRPr="00BD759F">
        <w:rPr>
          <w:rFonts w:ascii="Times New Roman" w:eastAsia="Times New Roman" w:hAnsi="Times New Roman" w:cs="Times New Roman"/>
          <w:sz w:val="24"/>
          <w:szCs w:val="24"/>
        </w:rPr>
        <w:t xml:space="preserve"> </w:t>
      </w:r>
    </w:p>
    <w:p w14:paraId="6420463E" w14:textId="77777777" w:rsidR="00F718ED" w:rsidRPr="00BD759F" w:rsidRDefault="00F718ED" w:rsidP="00BD759F">
      <w:pPr>
        <w:spacing w:after="0" w:line="240" w:lineRule="atLeast"/>
        <w:jc w:val="both"/>
        <w:rPr>
          <w:rFonts w:ascii="Times New Roman" w:eastAsia="Times New Roman" w:hAnsi="Times New Roman" w:cs="Times New Roman"/>
          <w:sz w:val="24"/>
          <w:szCs w:val="24"/>
        </w:rPr>
      </w:pPr>
      <w:r w:rsidRPr="00BD759F">
        <w:rPr>
          <w:rFonts w:ascii="Times New Roman" w:eastAsia="Times New Roman" w:hAnsi="Times New Roman" w:cs="Times New Roman"/>
          <w:sz w:val="24"/>
          <w:szCs w:val="24"/>
        </w:rPr>
        <w:br/>
      </w:r>
    </w:p>
    <w:p w14:paraId="45339330" w14:textId="77777777" w:rsidR="00E71B98" w:rsidRPr="00B42CF7" w:rsidRDefault="00E71B98" w:rsidP="00F718ED">
      <w:pPr>
        <w:spacing w:after="0" w:line="240" w:lineRule="atLeast"/>
        <w:rPr>
          <w:rFonts w:ascii="Times New Roman" w:eastAsia="Times New Roman" w:hAnsi="Times New Roman" w:cs="Times New Roman"/>
          <w:sz w:val="24"/>
          <w:szCs w:val="24"/>
        </w:rPr>
      </w:pPr>
    </w:p>
    <w:p w14:paraId="66A26A08" w14:textId="77777777" w:rsidR="00E71B98" w:rsidRPr="00E71B98" w:rsidRDefault="00E71B98" w:rsidP="00F718ED">
      <w:pPr>
        <w:spacing w:after="0" w:line="240" w:lineRule="atLeast"/>
        <w:rPr>
          <w:rFonts w:ascii="Times New Roman" w:eastAsia="Times New Roman" w:hAnsi="Times New Roman" w:cs="Times New Roman"/>
          <w:sz w:val="21"/>
          <w:szCs w:val="21"/>
        </w:rPr>
      </w:pPr>
    </w:p>
    <w:p w14:paraId="7FCAADB0" w14:textId="77777777" w:rsidR="00E71B98" w:rsidRPr="00E71B98" w:rsidRDefault="00E71B98" w:rsidP="00F718ED">
      <w:pPr>
        <w:spacing w:after="0" w:line="240" w:lineRule="atLeast"/>
        <w:rPr>
          <w:rFonts w:ascii="Times New Roman" w:eastAsia="Times New Roman" w:hAnsi="Times New Roman" w:cs="Times New Roman"/>
          <w:sz w:val="21"/>
          <w:szCs w:val="21"/>
        </w:rPr>
      </w:pPr>
    </w:p>
    <w:p w14:paraId="5A5B78C2" w14:textId="2013F025" w:rsidR="00E71B98" w:rsidRDefault="00E71B98" w:rsidP="00E71B98">
      <w:pPr>
        <w:spacing w:after="0" w:line="240" w:lineRule="atLeast"/>
        <w:rPr>
          <w:rFonts w:ascii="Times New Roman" w:eastAsia="Times New Roman" w:hAnsi="Times New Roman" w:cs="Times New Roman"/>
          <w:sz w:val="21"/>
          <w:szCs w:val="21"/>
        </w:rPr>
      </w:pPr>
    </w:p>
    <w:sectPr w:rsidR="00E71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ED"/>
    <w:rsid w:val="001D5837"/>
    <w:rsid w:val="00223E54"/>
    <w:rsid w:val="003A5E38"/>
    <w:rsid w:val="003D7DAA"/>
    <w:rsid w:val="004C4839"/>
    <w:rsid w:val="005B78FC"/>
    <w:rsid w:val="00B42CF7"/>
    <w:rsid w:val="00BB178F"/>
    <w:rsid w:val="00BD759F"/>
    <w:rsid w:val="00D178BC"/>
    <w:rsid w:val="00D841A1"/>
    <w:rsid w:val="00D8585A"/>
    <w:rsid w:val="00E71B98"/>
    <w:rsid w:val="00F0543D"/>
    <w:rsid w:val="00F7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8EEB"/>
  <w15:chartTrackingRefBased/>
  <w15:docId w15:val="{D6B436B9-5509-400C-998C-99B07422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D5837"/>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alloonText">
    <w:name w:val="Balloon Text"/>
    <w:basedOn w:val="Normal"/>
    <w:link w:val="BalloonTextChar"/>
    <w:uiPriority w:val="99"/>
    <w:semiHidden/>
    <w:unhideWhenUsed/>
    <w:rsid w:val="00D8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Dottie Henry</dc:creator>
  <cp:keywords/>
  <dc:description/>
  <cp:lastModifiedBy>Jessica Sullivan</cp:lastModifiedBy>
  <cp:revision>3</cp:revision>
  <cp:lastPrinted>2021-09-20T20:12:00Z</cp:lastPrinted>
  <dcterms:created xsi:type="dcterms:W3CDTF">2021-09-20T20:41:00Z</dcterms:created>
  <dcterms:modified xsi:type="dcterms:W3CDTF">2021-09-20T20:42:00Z</dcterms:modified>
</cp:coreProperties>
</file>